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3A" w:rsidRPr="003163EC" w:rsidRDefault="00443D1D" w:rsidP="00AB546F">
      <w:pPr>
        <w:spacing w:line="360" w:lineRule="auto"/>
        <w:ind w:firstLine="709"/>
        <w:jc w:val="center"/>
        <w:rPr>
          <w:szCs w:val="28"/>
        </w:rPr>
      </w:pPr>
      <w:bookmarkStart w:id="0" w:name="_GoBack"/>
      <w:bookmarkEnd w:id="0"/>
      <w:r w:rsidRPr="003163EC">
        <w:rPr>
          <w:szCs w:val="28"/>
        </w:rPr>
        <w:t>ПРОБЛЕМЫ И НАПРАВЛЕНИЯ Р</w:t>
      </w:r>
      <w:r w:rsidRPr="003163EC">
        <w:rPr>
          <w:rFonts w:cs="Times New Roman"/>
          <w:szCs w:val="28"/>
        </w:rPr>
        <w:t>АЗВИТИ</w:t>
      </w:r>
      <w:r w:rsidRPr="003163EC">
        <w:rPr>
          <w:szCs w:val="28"/>
        </w:rPr>
        <w:t>Я</w:t>
      </w:r>
      <w:r w:rsidRPr="003163EC">
        <w:rPr>
          <w:rFonts w:cs="Times New Roman"/>
          <w:szCs w:val="28"/>
        </w:rPr>
        <w:t xml:space="preserve"> МЕТОДИК</w:t>
      </w:r>
      <w:r w:rsidRPr="003163EC">
        <w:rPr>
          <w:szCs w:val="28"/>
        </w:rPr>
        <w:t>И</w:t>
      </w:r>
      <w:r w:rsidRPr="003163EC">
        <w:rPr>
          <w:rFonts w:cs="Times New Roman"/>
          <w:szCs w:val="28"/>
        </w:rPr>
        <w:t xml:space="preserve"> УЧЕТА</w:t>
      </w:r>
      <w:r w:rsidRPr="003163EC">
        <w:rPr>
          <w:szCs w:val="28"/>
        </w:rPr>
        <w:t xml:space="preserve"> ЗАТРАТ НА ВЫПОЛНЕНИЕ НИОКТР В РЕСПУБЛИКЕ БЕЛАРУСЬ</w:t>
      </w:r>
    </w:p>
    <w:p w:rsidR="001321D2" w:rsidRPr="003163EC" w:rsidRDefault="001321D2" w:rsidP="001321D2">
      <w:pPr>
        <w:spacing w:line="360" w:lineRule="auto"/>
        <w:ind w:firstLine="709"/>
        <w:jc w:val="right"/>
        <w:rPr>
          <w:szCs w:val="28"/>
        </w:rPr>
      </w:pPr>
      <w:r w:rsidRPr="003163EC">
        <w:rPr>
          <w:szCs w:val="28"/>
        </w:rPr>
        <w:t>Гурко Вероника Борисовна</w:t>
      </w:r>
      <w:r w:rsidR="003163EC">
        <w:rPr>
          <w:szCs w:val="28"/>
        </w:rPr>
        <w:t>,</w:t>
      </w:r>
    </w:p>
    <w:p w:rsidR="001321D2" w:rsidRPr="003163EC" w:rsidRDefault="003163EC" w:rsidP="001321D2">
      <w:pPr>
        <w:spacing w:line="360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доцент,</w:t>
      </w:r>
      <w:r w:rsidR="001321D2" w:rsidRPr="003163EC">
        <w:rPr>
          <w:rFonts w:cs="Times New Roman"/>
          <w:szCs w:val="28"/>
        </w:rPr>
        <w:t xml:space="preserve"> кандидат экономических наук, доцент</w:t>
      </w:r>
      <w:r>
        <w:rPr>
          <w:rFonts w:cs="Times New Roman"/>
          <w:szCs w:val="28"/>
        </w:rPr>
        <w:t>,</w:t>
      </w:r>
    </w:p>
    <w:p w:rsidR="001321D2" w:rsidRPr="003163EC" w:rsidRDefault="001321D2" w:rsidP="001321D2">
      <w:pPr>
        <w:spacing w:line="360" w:lineRule="auto"/>
        <w:ind w:firstLine="709"/>
        <w:jc w:val="right"/>
        <w:rPr>
          <w:szCs w:val="28"/>
        </w:rPr>
      </w:pPr>
      <w:r w:rsidRPr="003163EC">
        <w:rPr>
          <w:szCs w:val="28"/>
        </w:rPr>
        <w:t>Белорусский государственный экономический университет</w:t>
      </w:r>
      <w:r w:rsidR="003163EC">
        <w:rPr>
          <w:szCs w:val="28"/>
        </w:rPr>
        <w:t xml:space="preserve">, г. </w:t>
      </w:r>
      <w:r w:rsidRPr="003163EC">
        <w:rPr>
          <w:szCs w:val="28"/>
        </w:rPr>
        <w:t xml:space="preserve">Минск </w:t>
      </w:r>
    </w:p>
    <w:p w:rsidR="00AB546F" w:rsidRPr="00895C87" w:rsidRDefault="00AB546F" w:rsidP="003163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87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3163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95C87">
        <w:rPr>
          <w:rFonts w:ascii="Times New Roman" w:hAnsi="Times New Roman" w:cs="Times New Roman"/>
          <w:sz w:val="24"/>
          <w:szCs w:val="24"/>
        </w:rPr>
        <w:t>В данной статье представлены проблемы и рекомендации по совершенствованию методики учета затрат на выполнение НИОКТР</w:t>
      </w:r>
      <w:r w:rsidR="00320287">
        <w:rPr>
          <w:rFonts w:ascii="Times New Roman" w:hAnsi="Times New Roman" w:cs="Times New Roman"/>
          <w:sz w:val="24"/>
          <w:szCs w:val="24"/>
        </w:rPr>
        <w:t>, выполняемых</w:t>
      </w:r>
      <w:r w:rsidRPr="00895C87">
        <w:rPr>
          <w:rFonts w:ascii="Times New Roman" w:hAnsi="Times New Roman" w:cs="Times New Roman"/>
          <w:sz w:val="24"/>
          <w:szCs w:val="24"/>
        </w:rPr>
        <w:t xml:space="preserve"> за счет бюджетных средств белорусскими коммерческими организациями-исполнителями</w:t>
      </w:r>
    </w:p>
    <w:p w:rsidR="00AB546F" w:rsidRPr="00895C87" w:rsidRDefault="00AB546F" w:rsidP="00895C87">
      <w:pPr>
        <w:pStyle w:val="a3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5C87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895C87">
        <w:rPr>
          <w:rFonts w:ascii="Times New Roman" w:hAnsi="Times New Roman" w:cs="Times New Roman"/>
          <w:sz w:val="24"/>
          <w:szCs w:val="24"/>
        </w:rPr>
        <w:t xml:space="preserve"> НИОКТР, бухгалтерский учет, бюджетное финансирование, нематериальные активы, затраты</w:t>
      </w:r>
      <w:r w:rsidR="00320287">
        <w:rPr>
          <w:rFonts w:ascii="Times New Roman" w:hAnsi="Times New Roman" w:cs="Times New Roman"/>
          <w:sz w:val="24"/>
          <w:szCs w:val="24"/>
        </w:rPr>
        <w:t>.</w:t>
      </w:r>
    </w:p>
    <w:p w:rsidR="00EF3D14" w:rsidRPr="00F31FDC" w:rsidRDefault="00EF3D14" w:rsidP="00F31FDC">
      <w:pPr>
        <w:spacing w:line="360" w:lineRule="auto"/>
        <w:ind w:firstLine="709"/>
        <w:jc w:val="both"/>
        <w:rPr>
          <w:rFonts w:cs="Times New Roman"/>
          <w:bCs/>
          <w:szCs w:val="28"/>
        </w:rPr>
      </w:pPr>
      <w:r w:rsidRPr="00F31FDC">
        <w:rPr>
          <w:rFonts w:cs="Times New Roman"/>
          <w:bCs/>
          <w:szCs w:val="28"/>
        </w:rPr>
        <w:t xml:space="preserve">В Республике Беларусь НИОКТР, выполняемые коммерческими организациями, в т.ч. аккредитованными в качестве научных, могут финансироваться как за счет собственных источников, так и бюджетных средств. При этом объем бюджетного финансирования данных работ ежегодно </w:t>
      </w:r>
      <w:r w:rsidR="00F31FDC">
        <w:rPr>
          <w:rFonts w:cs="Times New Roman"/>
          <w:bCs/>
          <w:szCs w:val="28"/>
        </w:rPr>
        <w:t>увеличивается</w:t>
      </w:r>
      <w:r w:rsidRPr="00F31FDC">
        <w:rPr>
          <w:rFonts w:cs="Times New Roman"/>
          <w:bCs/>
          <w:szCs w:val="28"/>
        </w:rPr>
        <w:t xml:space="preserve">. Так, в 2020 году расходы </w:t>
      </w:r>
      <w:r w:rsidRPr="00F31FDC">
        <w:rPr>
          <w:rFonts w:cs="Times New Roman"/>
          <w:bCs/>
          <w:color w:val="000000"/>
          <w:szCs w:val="28"/>
        </w:rPr>
        <w:t>республиканского бюджета</w:t>
      </w:r>
      <w:r w:rsidRPr="00F31FDC">
        <w:rPr>
          <w:rFonts w:cs="Times New Roman"/>
          <w:bCs/>
          <w:szCs w:val="28"/>
        </w:rPr>
        <w:t xml:space="preserve"> по данному направлению представлены в приложении 6 к Закону от 16.12.2019 №269-З «О республиканском бюджете на 2020 год»</w:t>
      </w:r>
      <w:r w:rsidR="00E01E85" w:rsidRPr="00F31FDC">
        <w:rPr>
          <w:rFonts w:cs="Times New Roman"/>
          <w:bCs/>
          <w:szCs w:val="28"/>
        </w:rPr>
        <w:t xml:space="preserve"> </w:t>
      </w:r>
      <w:r w:rsidR="00C76604" w:rsidRPr="00C76604">
        <w:rPr>
          <w:rFonts w:cs="Times New Roman"/>
          <w:bCs/>
          <w:szCs w:val="28"/>
        </w:rPr>
        <w:t>[</w:t>
      </w:r>
      <w:r w:rsidR="00C76604">
        <w:rPr>
          <w:rFonts w:cs="Times New Roman"/>
          <w:bCs/>
          <w:szCs w:val="28"/>
        </w:rPr>
        <w:t>1</w:t>
      </w:r>
      <w:r w:rsidR="00C76604" w:rsidRPr="00C76604">
        <w:rPr>
          <w:rFonts w:cs="Times New Roman"/>
          <w:bCs/>
          <w:szCs w:val="28"/>
        </w:rPr>
        <w:t>]</w:t>
      </w:r>
      <w:r w:rsidR="00C76604">
        <w:rPr>
          <w:rFonts w:cs="Times New Roman"/>
          <w:bCs/>
          <w:szCs w:val="28"/>
        </w:rPr>
        <w:t xml:space="preserve"> </w:t>
      </w:r>
      <w:r w:rsidR="00E01E85" w:rsidRPr="00F31FDC">
        <w:rPr>
          <w:rFonts w:cs="Times New Roman"/>
          <w:bCs/>
          <w:szCs w:val="28"/>
        </w:rPr>
        <w:t xml:space="preserve">и составляют </w:t>
      </w:r>
      <w:r w:rsidR="006970D0" w:rsidRPr="00F31FDC">
        <w:rPr>
          <w:rFonts w:cs="Times New Roman"/>
          <w:bCs/>
          <w:szCs w:val="28"/>
        </w:rPr>
        <w:t>330000000 бел.</w:t>
      </w:r>
      <w:r w:rsidR="003163EC">
        <w:rPr>
          <w:rFonts w:cs="Times New Roman"/>
          <w:bCs/>
          <w:szCs w:val="28"/>
        </w:rPr>
        <w:t xml:space="preserve"> </w:t>
      </w:r>
      <w:r w:rsidR="006970D0" w:rsidRPr="00F31FDC">
        <w:rPr>
          <w:rFonts w:cs="Times New Roman"/>
          <w:bCs/>
          <w:szCs w:val="28"/>
        </w:rPr>
        <w:t>руб</w:t>
      </w:r>
      <w:r w:rsidRPr="00F31FDC">
        <w:rPr>
          <w:rFonts w:cs="Times New Roman"/>
          <w:bCs/>
          <w:szCs w:val="28"/>
        </w:rPr>
        <w:t>.</w:t>
      </w:r>
      <w:r w:rsidR="008B08BB" w:rsidRPr="00F31FDC">
        <w:rPr>
          <w:rFonts w:cs="Times New Roman"/>
          <w:bCs/>
          <w:szCs w:val="28"/>
        </w:rPr>
        <w:t xml:space="preserve">, что эквивалентно 1,3% республиканского бюджета по </w:t>
      </w:r>
      <w:r w:rsidR="00D2019F">
        <w:rPr>
          <w:rFonts w:cs="Times New Roman"/>
          <w:bCs/>
          <w:szCs w:val="28"/>
        </w:rPr>
        <w:t xml:space="preserve">всем </w:t>
      </w:r>
      <w:r w:rsidR="008B08BB" w:rsidRPr="00F31FDC">
        <w:rPr>
          <w:rFonts w:cs="Times New Roman"/>
          <w:bCs/>
          <w:szCs w:val="28"/>
        </w:rPr>
        <w:t>расходам.</w:t>
      </w:r>
    </w:p>
    <w:p w:rsidR="008B08BB" w:rsidRPr="00F31FDC" w:rsidRDefault="008B08BB" w:rsidP="00F31FDC">
      <w:pPr>
        <w:spacing w:line="360" w:lineRule="auto"/>
        <w:ind w:firstLine="709"/>
        <w:jc w:val="both"/>
        <w:rPr>
          <w:rFonts w:cs="Times New Roman"/>
          <w:bCs/>
          <w:szCs w:val="28"/>
        </w:rPr>
      </w:pPr>
      <w:r w:rsidRPr="00F31FDC">
        <w:rPr>
          <w:rFonts w:cs="Times New Roman"/>
          <w:bCs/>
          <w:szCs w:val="28"/>
        </w:rPr>
        <w:t xml:space="preserve">Значительный объем бюджетного финансирования НИОКТР способствует постоянному </w:t>
      </w:r>
      <w:r w:rsidR="00D2019F">
        <w:rPr>
          <w:rFonts w:cs="Times New Roman"/>
          <w:bCs/>
          <w:szCs w:val="28"/>
        </w:rPr>
        <w:t>совершенствованию</w:t>
      </w:r>
      <w:r w:rsidRPr="00F31FDC">
        <w:rPr>
          <w:rFonts w:cs="Times New Roman"/>
          <w:bCs/>
          <w:szCs w:val="28"/>
        </w:rPr>
        <w:t xml:space="preserve"> законодательства в данной </w:t>
      </w:r>
      <w:r w:rsidR="00D2019F">
        <w:rPr>
          <w:rFonts w:cs="Times New Roman"/>
          <w:bCs/>
          <w:szCs w:val="28"/>
        </w:rPr>
        <w:t>области</w:t>
      </w:r>
      <w:r w:rsidRPr="00F31FDC">
        <w:rPr>
          <w:rFonts w:cs="Times New Roman"/>
          <w:bCs/>
          <w:szCs w:val="28"/>
        </w:rPr>
        <w:t>.</w:t>
      </w:r>
    </w:p>
    <w:p w:rsidR="003D1A5F" w:rsidRPr="00F31FDC" w:rsidRDefault="008B08BB" w:rsidP="00F31FDC">
      <w:pPr>
        <w:spacing w:line="360" w:lineRule="auto"/>
        <w:ind w:firstLine="709"/>
        <w:jc w:val="both"/>
        <w:rPr>
          <w:szCs w:val="28"/>
        </w:rPr>
      </w:pPr>
      <w:r w:rsidRPr="00F31FDC">
        <w:rPr>
          <w:rFonts w:cs="Times New Roman"/>
          <w:bCs/>
          <w:szCs w:val="28"/>
        </w:rPr>
        <w:t xml:space="preserve">В нормативных правовых актах, регулирующих вопросы методики учета затрат на выполнение НИОКТР, </w:t>
      </w:r>
      <w:r w:rsidR="00D2019F">
        <w:rPr>
          <w:rFonts w:cs="Times New Roman"/>
          <w:bCs/>
          <w:szCs w:val="28"/>
        </w:rPr>
        <w:t xml:space="preserve">за последний год </w:t>
      </w:r>
      <w:r w:rsidRPr="00F31FDC">
        <w:rPr>
          <w:rFonts w:cs="Times New Roman"/>
          <w:bCs/>
          <w:szCs w:val="28"/>
        </w:rPr>
        <w:t xml:space="preserve">произошли существенные </w:t>
      </w:r>
      <w:r w:rsidRPr="00F31FDC">
        <w:rPr>
          <w:rFonts w:cs="Times New Roman"/>
          <w:bCs/>
          <w:i/>
          <w:szCs w:val="28"/>
        </w:rPr>
        <w:t>изменения</w:t>
      </w:r>
      <w:r w:rsidRPr="00F31FDC">
        <w:rPr>
          <w:rFonts w:cs="Times New Roman"/>
          <w:bCs/>
          <w:szCs w:val="28"/>
        </w:rPr>
        <w:t xml:space="preserve">. Так, в 2018 году </w:t>
      </w:r>
      <w:r w:rsidRPr="00F31FDC">
        <w:rPr>
          <w:rFonts w:cs="Times New Roman"/>
          <w:szCs w:val="28"/>
        </w:rPr>
        <w:t xml:space="preserve">вступили в силу дополнения и изменения в постановление </w:t>
      </w:r>
      <w:r w:rsidRPr="00F31FDC">
        <w:rPr>
          <w:rFonts w:cs="Times New Roman"/>
          <w:szCs w:val="28"/>
          <w:shd w:val="clear" w:color="auto" w:fill="FFFFFF"/>
        </w:rPr>
        <w:t xml:space="preserve">Министерства финансов </w:t>
      </w:r>
      <w:r w:rsidR="00901C59" w:rsidRPr="00F31FDC">
        <w:rPr>
          <w:rFonts w:cs="Times New Roman"/>
          <w:szCs w:val="28"/>
          <w:shd w:val="clear" w:color="auto" w:fill="FFFFFF"/>
        </w:rPr>
        <w:t xml:space="preserve">Республики Беларусь </w:t>
      </w:r>
      <w:r w:rsidRPr="00F31FDC">
        <w:rPr>
          <w:rFonts w:cs="Times New Roman"/>
          <w:szCs w:val="28"/>
        </w:rPr>
        <w:t xml:space="preserve">от 30.04.2012 г. № 25 «О некоторых вопросах бухгалтерского учета», которым утверждена Инструкция </w:t>
      </w:r>
      <w:r w:rsidR="003D1A5F" w:rsidRPr="00F31FDC">
        <w:rPr>
          <w:rFonts w:cs="Times New Roman"/>
          <w:szCs w:val="28"/>
        </w:rPr>
        <w:t>по бухгалтерскому учету нематериальных активов</w:t>
      </w:r>
      <w:r w:rsidR="00C76604">
        <w:rPr>
          <w:rFonts w:cs="Times New Roman"/>
          <w:szCs w:val="28"/>
        </w:rPr>
        <w:t xml:space="preserve"> [2]</w:t>
      </w:r>
      <w:r w:rsidRPr="00F31FDC">
        <w:rPr>
          <w:rFonts w:cs="Times New Roman"/>
          <w:szCs w:val="28"/>
        </w:rPr>
        <w:t xml:space="preserve">. </w:t>
      </w:r>
      <w:r w:rsidR="003D1A5F" w:rsidRPr="00F31FDC">
        <w:rPr>
          <w:rFonts w:cs="Times New Roman"/>
          <w:szCs w:val="28"/>
        </w:rPr>
        <w:t xml:space="preserve">До вступления в силу изменений, </w:t>
      </w:r>
      <w:r w:rsidR="003D1A5F" w:rsidRPr="00F31FDC">
        <w:rPr>
          <w:szCs w:val="28"/>
        </w:rPr>
        <w:t>все затраты на выполнение НИОКТР отражались по счету 08 «</w:t>
      </w:r>
      <w:r w:rsidR="003D1A5F" w:rsidRPr="00F31FDC">
        <w:rPr>
          <w:color w:val="000000"/>
          <w:szCs w:val="28"/>
        </w:rPr>
        <w:t>Вложения в долгосрочные активы</w:t>
      </w:r>
      <w:r w:rsidR="003D1A5F" w:rsidRPr="00F31FDC">
        <w:rPr>
          <w:szCs w:val="28"/>
        </w:rPr>
        <w:t>» субсчет 4 «</w:t>
      </w:r>
      <w:r w:rsidR="003D1A5F" w:rsidRPr="00F31FDC">
        <w:rPr>
          <w:color w:val="000000"/>
          <w:szCs w:val="28"/>
        </w:rPr>
        <w:t>Приобретение и создание нематериальных активов</w:t>
      </w:r>
      <w:r w:rsidR="003D1A5F" w:rsidRPr="00F31FDC">
        <w:rPr>
          <w:szCs w:val="28"/>
        </w:rPr>
        <w:t>»,</w:t>
      </w:r>
      <w:r w:rsidR="00D2019F">
        <w:rPr>
          <w:szCs w:val="28"/>
        </w:rPr>
        <w:t xml:space="preserve"> </w:t>
      </w:r>
      <w:r w:rsidR="003D1A5F" w:rsidRPr="00F31FDC">
        <w:rPr>
          <w:szCs w:val="28"/>
        </w:rPr>
        <w:t xml:space="preserve">если в договоре на выполнение НИОКТР в </w:t>
      </w:r>
      <w:r w:rsidR="003D1A5F" w:rsidRPr="00F31FDC">
        <w:rPr>
          <w:szCs w:val="28"/>
        </w:rPr>
        <w:lastRenderedPageBreak/>
        <w:t xml:space="preserve">качестве правообладателя </w:t>
      </w:r>
      <w:r w:rsidR="001B052F">
        <w:rPr>
          <w:szCs w:val="28"/>
        </w:rPr>
        <w:t xml:space="preserve">была </w:t>
      </w:r>
      <w:r w:rsidR="003D1A5F" w:rsidRPr="00F31FDC">
        <w:rPr>
          <w:szCs w:val="28"/>
        </w:rPr>
        <w:t>указана организация-исполнитель, и по счету 20 «Основное производство», если правообладателем выступал заказчик работ.</w:t>
      </w:r>
    </w:p>
    <w:p w:rsidR="00622B42" w:rsidRPr="00F31FDC" w:rsidRDefault="00622B42" w:rsidP="00F31FDC">
      <w:pPr>
        <w:spacing w:line="360" w:lineRule="auto"/>
        <w:ind w:firstLine="709"/>
        <w:jc w:val="both"/>
        <w:rPr>
          <w:iCs/>
          <w:szCs w:val="28"/>
        </w:rPr>
      </w:pPr>
      <w:r w:rsidRPr="00F31FDC">
        <w:rPr>
          <w:szCs w:val="28"/>
        </w:rPr>
        <w:t xml:space="preserve">Организации-исполнители, являющиеся </w:t>
      </w:r>
      <w:r w:rsidRPr="00F31FDC">
        <w:rPr>
          <w:color w:val="000000"/>
          <w:szCs w:val="28"/>
        </w:rPr>
        <w:t>обладателями имущественных прав на результаты НТД по договору на выполнение НИОКТР, становились в менее выгодное положение по сравнению с организациями-исполнителями, не являющими таковыми, поскольку формирование первоначальной стоимости подразумевает</w:t>
      </w:r>
      <w:r w:rsidR="00D2019F">
        <w:rPr>
          <w:color w:val="000000"/>
          <w:szCs w:val="28"/>
        </w:rPr>
        <w:t xml:space="preserve"> отражение только затрат</w:t>
      </w:r>
      <w:r w:rsidR="00D2019F" w:rsidRPr="00D2019F">
        <w:rPr>
          <w:color w:val="000000"/>
          <w:szCs w:val="28"/>
        </w:rPr>
        <w:t xml:space="preserve"> </w:t>
      </w:r>
      <w:r w:rsidR="00D2019F">
        <w:rPr>
          <w:color w:val="000000"/>
          <w:szCs w:val="28"/>
        </w:rPr>
        <w:t xml:space="preserve">и отсутствие выручки, </w:t>
      </w:r>
      <w:r w:rsidR="00320287">
        <w:rPr>
          <w:color w:val="000000"/>
          <w:szCs w:val="28"/>
        </w:rPr>
        <w:t xml:space="preserve">следовательно, </w:t>
      </w:r>
      <w:r w:rsidR="00D2019F">
        <w:rPr>
          <w:color w:val="000000"/>
          <w:szCs w:val="28"/>
        </w:rPr>
        <w:t>рентабельности работ</w:t>
      </w:r>
      <w:r w:rsidRPr="00F31FDC">
        <w:rPr>
          <w:color w:val="000000"/>
          <w:szCs w:val="28"/>
        </w:rPr>
        <w:t xml:space="preserve">. </w:t>
      </w:r>
      <w:r w:rsidR="00D2019F">
        <w:rPr>
          <w:iCs/>
          <w:szCs w:val="28"/>
        </w:rPr>
        <w:t xml:space="preserve">Если правообладателем результатов НТД являлся заказчик, </w:t>
      </w:r>
      <w:r w:rsidRPr="00F31FDC">
        <w:rPr>
          <w:iCs/>
          <w:szCs w:val="28"/>
        </w:rPr>
        <w:t>эконо</w:t>
      </w:r>
      <w:r w:rsidR="004C5FEC" w:rsidRPr="00F31FDC">
        <w:rPr>
          <w:iCs/>
          <w:szCs w:val="28"/>
        </w:rPr>
        <w:t>мические показатели организации-</w:t>
      </w:r>
      <w:r w:rsidRPr="00F31FDC">
        <w:rPr>
          <w:iCs/>
          <w:szCs w:val="28"/>
        </w:rPr>
        <w:t>исполнителя улучша</w:t>
      </w:r>
      <w:r w:rsidR="004C5FEC" w:rsidRPr="00F31FDC">
        <w:rPr>
          <w:iCs/>
          <w:szCs w:val="28"/>
        </w:rPr>
        <w:t>лись</w:t>
      </w:r>
      <w:r w:rsidRPr="00F31FDC">
        <w:rPr>
          <w:iCs/>
          <w:szCs w:val="28"/>
        </w:rPr>
        <w:t xml:space="preserve"> за счет отражения выручки от ре</w:t>
      </w:r>
      <w:r w:rsidR="00D2019F">
        <w:rPr>
          <w:iCs/>
          <w:szCs w:val="28"/>
        </w:rPr>
        <w:t>ализации, рентабельности</w:t>
      </w:r>
      <w:r w:rsidR="00AE0950" w:rsidRPr="00AE0950">
        <w:rPr>
          <w:iCs/>
          <w:szCs w:val="28"/>
        </w:rPr>
        <w:t xml:space="preserve"> </w:t>
      </w:r>
      <w:r w:rsidR="00AE0950">
        <w:rPr>
          <w:iCs/>
          <w:szCs w:val="28"/>
        </w:rPr>
        <w:t>работ</w:t>
      </w:r>
      <w:r w:rsidR="00D2019F">
        <w:rPr>
          <w:iCs/>
          <w:szCs w:val="28"/>
        </w:rPr>
        <w:t>.</w:t>
      </w:r>
    </w:p>
    <w:p w:rsidR="004C5FEC" w:rsidRPr="00F31FDC" w:rsidRDefault="00D2019F" w:rsidP="00F31FDC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iCs/>
          <w:szCs w:val="28"/>
        </w:rPr>
        <w:t>Внесение и</w:t>
      </w:r>
      <w:r w:rsidR="004C5FEC" w:rsidRPr="00F31FDC">
        <w:rPr>
          <w:iCs/>
          <w:szCs w:val="28"/>
        </w:rPr>
        <w:t>зменени</w:t>
      </w:r>
      <w:r>
        <w:rPr>
          <w:iCs/>
          <w:szCs w:val="28"/>
        </w:rPr>
        <w:t>й</w:t>
      </w:r>
      <w:r w:rsidR="004C5FEC" w:rsidRPr="00F31FDC">
        <w:rPr>
          <w:iCs/>
          <w:szCs w:val="28"/>
        </w:rPr>
        <w:t xml:space="preserve"> в Инструкцию № 25 вызваны именно </w:t>
      </w:r>
      <w:r w:rsidR="005C5D0A">
        <w:rPr>
          <w:iCs/>
          <w:szCs w:val="28"/>
        </w:rPr>
        <w:t xml:space="preserve">попыткой </w:t>
      </w:r>
      <w:r w:rsidR="004C5FEC" w:rsidRPr="00F31FDC">
        <w:rPr>
          <w:iCs/>
          <w:szCs w:val="28"/>
        </w:rPr>
        <w:t>решени</w:t>
      </w:r>
      <w:r w:rsidR="005C5D0A">
        <w:rPr>
          <w:iCs/>
          <w:szCs w:val="28"/>
        </w:rPr>
        <w:t>я</w:t>
      </w:r>
      <w:r w:rsidR="004C5FEC" w:rsidRPr="00F31FDC">
        <w:rPr>
          <w:iCs/>
          <w:szCs w:val="28"/>
        </w:rPr>
        <w:t xml:space="preserve"> данной проблемы. На текущую дату </w:t>
      </w:r>
      <w:r w:rsidR="00F253EC" w:rsidRPr="00F31FDC">
        <w:rPr>
          <w:rFonts w:cs="Times New Roman"/>
          <w:szCs w:val="28"/>
        </w:rPr>
        <w:t xml:space="preserve">счет 08 «Вложения в долгосрочные активы» у организаций-исполнителей, являющихся обладателями имущественных прав на результаты НТД, создаваемых в рамках договоров на выполнение НИОКТР полностью или частично за счет государственных средств и подлежащих обязательной коммерциализации, используется </w:t>
      </w:r>
      <w:r w:rsidR="00F253EC" w:rsidRPr="00F31FDC">
        <w:rPr>
          <w:rFonts w:cs="Times New Roman"/>
          <w:i/>
          <w:szCs w:val="28"/>
        </w:rPr>
        <w:t>на дату признания выручки от реализации НИОКТР</w:t>
      </w:r>
      <w:r w:rsidR="00F253EC" w:rsidRPr="00F31FDC">
        <w:rPr>
          <w:rFonts w:cs="Times New Roman"/>
          <w:szCs w:val="28"/>
        </w:rPr>
        <w:t xml:space="preserve">. Следовательно, до момента признания выручки от реализации по договорам НИОКТР, фактические затраты в части государственных средств будут отражаться по счету 20 </w:t>
      </w:r>
      <w:r w:rsidR="00C76604">
        <w:rPr>
          <w:rFonts w:cs="Times New Roman"/>
          <w:szCs w:val="28"/>
        </w:rPr>
        <w:t>[3, 4]</w:t>
      </w:r>
      <w:r w:rsidR="00F253EC" w:rsidRPr="00F31FDC">
        <w:rPr>
          <w:rFonts w:cs="Times New Roman"/>
          <w:szCs w:val="28"/>
        </w:rPr>
        <w:t>.</w:t>
      </w:r>
    </w:p>
    <w:p w:rsidR="00F253EC" w:rsidRDefault="00F253EC" w:rsidP="00F31FDC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F31FDC">
        <w:rPr>
          <w:rFonts w:cs="Times New Roman"/>
          <w:szCs w:val="28"/>
        </w:rPr>
        <w:t xml:space="preserve">Решение одной проблемы привело к </w:t>
      </w:r>
      <w:r w:rsidR="00D2019F">
        <w:rPr>
          <w:rFonts w:cs="Times New Roman"/>
          <w:szCs w:val="28"/>
        </w:rPr>
        <w:t xml:space="preserve">появлению другой проблемы, а именно </w:t>
      </w:r>
      <w:r w:rsidRPr="00F31FDC">
        <w:rPr>
          <w:rFonts w:cs="Times New Roman"/>
          <w:szCs w:val="28"/>
        </w:rPr>
        <w:t xml:space="preserve">отсутствию единого подхода к учету затрат на выполнение НИОКТР у организаций-исполнителей, являющихся </w:t>
      </w:r>
      <w:r w:rsidR="00BC1CC3" w:rsidRPr="00F31FDC">
        <w:rPr>
          <w:color w:val="000000"/>
          <w:szCs w:val="28"/>
        </w:rPr>
        <w:t>обладателями имущественных прав на результаты НТД</w:t>
      </w:r>
      <w:r w:rsidRPr="00F31FDC">
        <w:rPr>
          <w:rFonts w:cs="Times New Roman"/>
          <w:szCs w:val="28"/>
        </w:rPr>
        <w:t>.</w:t>
      </w:r>
      <w:r w:rsidR="00BC1CC3" w:rsidRPr="00F31FDC">
        <w:rPr>
          <w:rFonts w:cs="Times New Roman"/>
          <w:szCs w:val="28"/>
        </w:rPr>
        <w:t xml:space="preserve"> Так, при использовании собственных источников финансирования </w:t>
      </w:r>
      <w:r w:rsidR="00D2019F">
        <w:rPr>
          <w:rFonts w:cs="Times New Roman"/>
          <w:szCs w:val="28"/>
        </w:rPr>
        <w:t xml:space="preserve">при отражении затрат на выполнение НИОКТР </w:t>
      </w:r>
      <w:r w:rsidR="00BC1CC3" w:rsidRPr="00F31FDC">
        <w:rPr>
          <w:rFonts w:cs="Times New Roman"/>
          <w:szCs w:val="28"/>
        </w:rPr>
        <w:t xml:space="preserve">используется счет 08, при использовании бюджетных средств </w:t>
      </w:r>
      <w:r w:rsidR="00AB4C10">
        <w:rPr>
          <w:rFonts w:cs="Times New Roman"/>
          <w:szCs w:val="28"/>
        </w:rPr>
        <w:t xml:space="preserve"> - </w:t>
      </w:r>
      <w:r w:rsidR="00BC1CC3" w:rsidRPr="00F31FDC">
        <w:rPr>
          <w:rFonts w:cs="Times New Roman"/>
          <w:szCs w:val="28"/>
        </w:rPr>
        <w:t>используется счет 20. Следовательно, затраты на одну работу до подписания акта выполненных работ в учете и отчетности будут отражаться по-разному: частично как капитальные</w:t>
      </w:r>
      <w:r w:rsidR="00AB4C10">
        <w:rPr>
          <w:rFonts w:cs="Times New Roman"/>
          <w:szCs w:val="28"/>
        </w:rPr>
        <w:t xml:space="preserve"> затраты</w:t>
      </w:r>
      <w:r w:rsidR="00BC1CC3" w:rsidRPr="00F31FDC">
        <w:rPr>
          <w:rFonts w:cs="Times New Roman"/>
          <w:szCs w:val="28"/>
        </w:rPr>
        <w:t xml:space="preserve"> (</w:t>
      </w:r>
      <w:r w:rsidR="00545EBF" w:rsidRPr="00F31FDC">
        <w:rPr>
          <w:rFonts w:cs="Times New Roman"/>
          <w:szCs w:val="28"/>
        </w:rPr>
        <w:t>долгосрочные</w:t>
      </w:r>
      <w:r w:rsidR="00BC1CC3" w:rsidRPr="00F31FDC">
        <w:rPr>
          <w:rFonts w:cs="Times New Roman"/>
          <w:szCs w:val="28"/>
        </w:rPr>
        <w:t xml:space="preserve"> активы), частично – как текущие некапитальные затраты (краткосрочные активы).</w:t>
      </w:r>
    </w:p>
    <w:p w:rsidR="00B17795" w:rsidRDefault="0002677B" w:rsidP="00F31FDC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Кроме того, Инструкцией № 25 предусмотрено использование бухгалтерской записи «Дебет счета 08 Кредит счета 98</w:t>
      </w:r>
      <w:r w:rsidR="00990630">
        <w:rPr>
          <w:rFonts w:cs="Times New Roman"/>
          <w:szCs w:val="28"/>
        </w:rPr>
        <w:t xml:space="preserve"> «Доходы будущих периодов»</w:t>
      </w:r>
      <w:r>
        <w:rPr>
          <w:rFonts w:cs="Times New Roman"/>
          <w:szCs w:val="28"/>
        </w:rPr>
        <w:t>» на дату подписания акта выполненных работ. На наш взгляд данная запись оправдана только в случае, если результаты НТД, принадлежащие организации-исполнителю</w:t>
      </w:r>
      <w:r w:rsidR="00AE0950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в полной степени </w:t>
      </w:r>
      <w:r w:rsidR="00AE0950">
        <w:rPr>
          <w:rFonts w:cs="Times New Roman"/>
          <w:szCs w:val="28"/>
        </w:rPr>
        <w:t>соответствуют</w:t>
      </w:r>
      <w:r>
        <w:rPr>
          <w:rFonts w:cs="Times New Roman"/>
          <w:szCs w:val="28"/>
        </w:rPr>
        <w:t xml:space="preserve"> условиям признания нематериального актива. В ином случае составление данной проводки нецелесообразно, поскольку</w:t>
      </w:r>
      <w:r w:rsidR="00B17795">
        <w:rPr>
          <w:rFonts w:cs="Times New Roman"/>
          <w:szCs w:val="28"/>
        </w:rPr>
        <w:t xml:space="preserve"> это приведет к дополнительной налоговой нагрузке (сумма по кредиту счета 98 будет учтена в составе внереализационных доходов для исчисления налога на прибыль), хотя</w:t>
      </w:r>
      <w:r>
        <w:rPr>
          <w:rFonts w:cs="Times New Roman"/>
          <w:szCs w:val="28"/>
        </w:rPr>
        <w:t xml:space="preserve"> </w:t>
      </w:r>
      <w:r w:rsidR="00AB4C10">
        <w:rPr>
          <w:rFonts w:cs="Times New Roman"/>
          <w:szCs w:val="28"/>
        </w:rPr>
        <w:t xml:space="preserve">нематериальный актив при этом будет отсутствовать, а </w:t>
      </w:r>
      <w:r>
        <w:rPr>
          <w:rFonts w:cs="Times New Roman"/>
          <w:szCs w:val="28"/>
        </w:rPr>
        <w:t xml:space="preserve">затраты будут списаны со счета 08 </w:t>
      </w:r>
      <w:r w:rsidR="00B17795">
        <w:rPr>
          <w:rFonts w:cs="Times New Roman"/>
          <w:szCs w:val="28"/>
        </w:rPr>
        <w:t>в состав расходов по инвестиционной деятельности, учитываемых при налогообложении, а именно на счет 91</w:t>
      </w:r>
      <w:r w:rsidR="00990630">
        <w:rPr>
          <w:rFonts w:cs="Times New Roman"/>
          <w:szCs w:val="28"/>
        </w:rPr>
        <w:t xml:space="preserve"> «Прочие доходы и расходы»</w:t>
      </w:r>
      <w:r w:rsidR="00B17795">
        <w:rPr>
          <w:rFonts w:cs="Times New Roman"/>
          <w:szCs w:val="28"/>
        </w:rPr>
        <w:t xml:space="preserve">. </w:t>
      </w:r>
    </w:p>
    <w:p w:rsidR="00BC1CC3" w:rsidRPr="00F31FDC" w:rsidRDefault="00BC1CC3" w:rsidP="00F31FDC">
      <w:pPr>
        <w:spacing w:line="360" w:lineRule="auto"/>
        <w:ind w:firstLine="709"/>
        <w:jc w:val="both"/>
        <w:rPr>
          <w:color w:val="000000"/>
          <w:szCs w:val="28"/>
        </w:rPr>
      </w:pPr>
      <w:r w:rsidRPr="00F31FDC">
        <w:rPr>
          <w:color w:val="000000"/>
          <w:szCs w:val="28"/>
        </w:rPr>
        <w:t xml:space="preserve">Предлагаем </w:t>
      </w:r>
      <w:r w:rsidR="00D2019F">
        <w:rPr>
          <w:color w:val="000000"/>
          <w:szCs w:val="28"/>
        </w:rPr>
        <w:t xml:space="preserve">усовершенствовать </w:t>
      </w:r>
      <w:r w:rsidRPr="00F31FDC">
        <w:rPr>
          <w:color w:val="000000"/>
          <w:szCs w:val="28"/>
        </w:rPr>
        <w:t>методику учета затрат на выполнение НИОКТР</w:t>
      </w:r>
      <w:r w:rsidR="00D2019F">
        <w:rPr>
          <w:color w:val="000000"/>
          <w:szCs w:val="28"/>
        </w:rPr>
        <w:t>,</w:t>
      </w:r>
      <w:r w:rsidRPr="00F31FDC">
        <w:rPr>
          <w:color w:val="000000"/>
          <w:szCs w:val="28"/>
        </w:rPr>
        <w:t xml:space="preserve"> и вне зависимости от того, за счет какого источника они будут финансироваться, в договоре на выполнение НИОКТР в качестве правообладателя указывать заказчика. Таким образом, </w:t>
      </w:r>
      <w:r w:rsidR="00D2019F">
        <w:rPr>
          <w:color w:val="000000"/>
          <w:szCs w:val="28"/>
        </w:rPr>
        <w:t xml:space="preserve">первоначально </w:t>
      </w:r>
      <w:r w:rsidRPr="00F31FDC">
        <w:rPr>
          <w:color w:val="000000"/>
          <w:szCs w:val="28"/>
        </w:rPr>
        <w:t xml:space="preserve">все затраты организацией-исполнителем будут отражаться по счету 20. На дату подписания акта выполненных работ оформлять передачу имущественных прав организации-исполнителю, и </w:t>
      </w:r>
      <w:r w:rsidR="00BB7C0E">
        <w:rPr>
          <w:color w:val="000000"/>
          <w:szCs w:val="28"/>
        </w:rPr>
        <w:t xml:space="preserve">только </w:t>
      </w:r>
      <w:r w:rsidRPr="00F31FDC">
        <w:rPr>
          <w:color w:val="000000"/>
          <w:szCs w:val="28"/>
        </w:rPr>
        <w:t>при соответствии результата НТД критериям идентификации нематериальных активов, использовать счет 08.</w:t>
      </w:r>
    </w:p>
    <w:p w:rsidR="00622B42" w:rsidRDefault="00ED1140" w:rsidP="00F31FDC">
      <w:pPr>
        <w:spacing w:line="360" w:lineRule="auto"/>
        <w:ind w:firstLine="709"/>
        <w:jc w:val="both"/>
        <w:rPr>
          <w:color w:val="000000"/>
          <w:szCs w:val="28"/>
        </w:rPr>
      </w:pPr>
      <w:r w:rsidRPr="00F31FDC">
        <w:rPr>
          <w:color w:val="000000"/>
          <w:szCs w:val="28"/>
        </w:rPr>
        <w:t xml:space="preserve">Данная рекомендация будет способствовать единому </w:t>
      </w:r>
      <w:r w:rsidR="00F31FDC" w:rsidRPr="00F31FDC">
        <w:rPr>
          <w:color w:val="000000"/>
          <w:szCs w:val="28"/>
        </w:rPr>
        <w:t>унифицированному</w:t>
      </w:r>
      <w:r w:rsidR="00CC0B1A" w:rsidRPr="00F31FDC">
        <w:rPr>
          <w:color w:val="000000"/>
          <w:szCs w:val="28"/>
        </w:rPr>
        <w:t xml:space="preserve"> </w:t>
      </w:r>
      <w:r w:rsidRPr="00F31FDC">
        <w:rPr>
          <w:color w:val="000000"/>
          <w:szCs w:val="28"/>
        </w:rPr>
        <w:t>отражению затрат</w:t>
      </w:r>
      <w:r w:rsidR="00CC0B1A" w:rsidRPr="00F31FDC">
        <w:rPr>
          <w:color w:val="000000"/>
          <w:szCs w:val="28"/>
        </w:rPr>
        <w:t xml:space="preserve"> на выполнение НИОКТР коммерческими </w:t>
      </w:r>
      <w:r w:rsidR="00F31FDC" w:rsidRPr="00F31FDC">
        <w:rPr>
          <w:color w:val="000000"/>
          <w:szCs w:val="28"/>
        </w:rPr>
        <w:t>ор</w:t>
      </w:r>
      <w:r w:rsidR="00CC0B1A" w:rsidRPr="00F31FDC">
        <w:rPr>
          <w:color w:val="000000"/>
          <w:szCs w:val="28"/>
        </w:rPr>
        <w:t>г</w:t>
      </w:r>
      <w:r w:rsidR="00F31FDC" w:rsidRPr="00F31FDC">
        <w:rPr>
          <w:color w:val="000000"/>
          <w:szCs w:val="28"/>
        </w:rPr>
        <w:t>а</w:t>
      </w:r>
      <w:r w:rsidR="00CC0B1A" w:rsidRPr="00F31FDC">
        <w:rPr>
          <w:color w:val="000000"/>
          <w:szCs w:val="28"/>
        </w:rPr>
        <w:t>низациями-исполнителями в учете и отчетности</w:t>
      </w:r>
      <w:r w:rsidR="00D2019F">
        <w:rPr>
          <w:color w:val="000000"/>
          <w:szCs w:val="28"/>
        </w:rPr>
        <w:t>, позволит данным организациям отражать выручку, прибыль и, при необходимости, безвозмездное получение нематериального актива</w:t>
      </w:r>
      <w:r w:rsidR="00B17795">
        <w:rPr>
          <w:color w:val="000000"/>
          <w:szCs w:val="28"/>
        </w:rPr>
        <w:t xml:space="preserve">, что, в свою очередь, приведет к оптимизации </w:t>
      </w:r>
      <w:r w:rsidR="00212EFB">
        <w:rPr>
          <w:color w:val="000000"/>
          <w:szCs w:val="28"/>
        </w:rPr>
        <w:t xml:space="preserve">системы </w:t>
      </w:r>
      <w:r w:rsidR="00B17795">
        <w:rPr>
          <w:color w:val="000000"/>
          <w:szCs w:val="28"/>
        </w:rPr>
        <w:t xml:space="preserve">налогообложения и снижению налоговой нагрузки </w:t>
      </w:r>
      <w:r w:rsidR="00212EFB">
        <w:rPr>
          <w:color w:val="000000"/>
          <w:szCs w:val="28"/>
        </w:rPr>
        <w:t xml:space="preserve">на </w:t>
      </w:r>
      <w:r w:rsidR="00B17795">
        <w:rPr>
          <w:color w:val="000000"/>
          <w:szCs w:val="28"/>
        </w:rPr>
        <w:t>организаци</w:t>
      </w:r>
      <w:r w:rsidR="00212EFB">
        <w:rPr>
          <w:color w:val="000000"/>
          <w:szCs w:val="28"/>
        </w:rPr>
        <w:t>ю</w:t>
      </w:r>
      <w:r w:rsidR="00B17795">
        <w:rPr>
          <w:color w:val="000000"/>
          <w:szCs w:val="28"/>
        </w:rPr>
        <w:t>-исполнителя</w:t>
      </w:r>
      <w:r w:rsidR="000D2EB8">
        <w:rPr>
          <w:color w:val="000000"/>
          <w:szCs w:val="28"/>
        </w:rPr>
        <w:t xml:space="preserve"> НИОКТР</w:t>
      </w:r>
      <w:r w:rsidR="00CC0B1A" w:rsidRPr="00F31FDC">
        <w:rPr>
          <w:color w:val="000000"/>
          <w:szCs w:val="28"/>
        </w:rPr>
        <w:t>.</w:t>
      </w:r>
    </w:p>
    <w:p w:rsidR="00D2019F" w:rsidRPr="003163EC" w:rsidRDefault="003163EC" w:rsidP="00D201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EC">
        <w:rPr>
          <w:rFonts w:ascii="Times New Roman" w:hAnsi="Times New Roman" w:cs="Times New Roman"/>
          <w:bCs/>
          <w:sz w:val="24"/>
          <w:szCs w:val="24"/>
        </w:rPr>
        <w:t>Список цитируемых источников</w:t>
      </w:r>
    </w:p>
    <w:p w:rsidR="00D2019F" w:rsidRPr="002F0C7D" w:rsidRDefault="00D2019F" w:rsidP="00C7660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2F0C7D">
        <w:rPr>
          <w:rFonts w:cs="Times New Roman"/>
          <w:bCs/>
          <w:sz w:val="24"/>
          <w:szCs w:val="24"/>
        </w:rPr>
        <w:t>О республиканском бюджете на 2020 год</w:t>
      </w:r>
      <w:r w:rsidRPr="002F0C7D">
        <w:rPr>
          <w:rFonts w:eastAsia="Times New Roman" w:cs="Times New Roman"/>
          <w:iCs/>
          <w:sz w:val="24"/>
          <w:szCs w:val="24"/>
          <w:lang w:eastAsia="ru-RU"/>
        </w:rPr>
        <w:t xml:space="preserve">: </w:t>
      </w:r>
      <w:r w:rsidRPr="002F0C7D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Закон Респ. Беларусь</w:t>
      </w:r>
      <w:r w:rsidRPr="002F0C7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F0C7D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Pr="002F0C7D">
        <w:rPr>
          <w:rFonts w:cs="Times New Roman"/>
          <w:bCs/>
          <w:sz w:val="24"/>
          <w:szCs w:val="24"/>
        </w:rPr>
        <w:t>16.12.2019 №269-З</w:t>
      </w:r>
      <w:r w:rsidR="00E22BDD">
        <w:rPr>
          <w:rFonts w:cs="Times New Roman"/>
          <w:bCs/>
          <w:sz w:val="24"/>
          <w:szCs w:val="24"/>
        </w:rPr>
        <w:t>.</w:t>
      </w:r>
    </w:p>
    <w:p w:rsidR="00545EBF" w:rsidRPr="00545EBF" w:rsidRDefault="00D2019F" w:rsidP="00545EBF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2F0C7D">
        <w:rPr>
          <w:rFonts w:cs="Times New Roman"/>
          <w:sz w:val="24"/>
          <w:szCs w:val="24"/>
        </w:rPr>
        <w:lastRenderedPageBreak/>
        <w:t xml:space="preserve">О некоторых вопросах бухгалтерского учета: </w:t>
      </w:r>
      <w:r w:rsidRPr="002F0C7D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Постановление Министерства финансов Респ. Беларусь</w:t>
      </w:r>
      <w:r w:rsidRPr="002F0C7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F0C7D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FF3F29" w:rsidRPr="002F0C7D">
        <w:rPr>
          <w:rFonts w:cs="Times New Roman"/>
          <w:sz w:val="24"/>
          <w:szCs w:val="24"/>
        </w:rPr>
        <w:t>30.04.2012 г. № 25 (с изм. и доп.)</w:t>
      </w:r>
      <w:r w:rsidR="00E22BDD">
        <w:rPr>
          <w:rFonts w:cs="Times New Roman"/>
          <w:sz w:val="24"/>
          <w:szCs w:val="24"/>
        </w:rPr>
        <w:t>.</w:t>
      </w:r>
    </w:p>
    <w:p w:rsidR="00C76604" w:rsidRPr="00545EBF" w:rsidRDefault="00C76604" w:rsidP="00545EBF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545EBF">
        <w:rPr>
          <w:sz w:val="24"/>
          <w:szCs w:val="24"/>
        </w:rPr>
        <w:t>Маталыцкая С.К., В.Б.Гурко, Л.В.Пашковская, Н.Н.Кириенко Проблема формирования накладных затрат в себестоимости НИОК(Т)Р // Бухгалтерский учет и анализ. — 2019. — № 6. — С. 26–33</w:t>
      </w:r>
      <w:r w:rsidR="00E22BDD" w:rsidRPr="00545EBF">
        <w:rPr>
          <w:sz w:val="24"/>
          <w:szCs w:val="24"/>
        </w:rPr>
        <w:t>.</w:t>
      </w:r>
    </w:p>
    <w:p w:rsidR="00DC193A" w:rsidRDefault="00C76604" w:rsidP="00B317EE">
      <w:pPr>
        <w:numPr>
          <w:ilvl w:val="0"/>
          <w:numId w:val="1"/>
        </w:numPr>
        <w:tabs>
          <w:tab w:val="left" w:pos="900"/>
        </w:tabs>
        <w:spacing w:line="360" w:lineRule="auto"/>
        <w:ind w:left="0" w:right="21" w:firstLine="709"/>
        <w:jc w:val="both"/>
      </w:pPr>
      <w:r w:rsidRPr="00B317EE">
        <w:rPr>
          <w:sz w:val="24"/>
          <w:szCs w:val="24"/>
        </w:rPr>
        <w:t>Маталыцкая С.К., В.Б.Гурко, Л.В.Пашковская, Н.Н.Кириенко Методические аспекты учета и калькулирования затрат на выполнение научно-исследовательских, опытно-конструкторских, опытно-технологических работ // Бухгалтерский учет и анализ. — 2019. — № 7. — С. 9–14.</w:t>
      </w:r>
    </w:p>
    <w:sectPr w:rsidR="00DC193A" w:rsidSect="00DC193A">
      <w:pgSz w:w="11906" w:h="16838" w:code="9"/>
      <w:pgMar w:top="1134" w:right="1134" w:bottom="1134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352AC"/>
    <w:multiLevelType w:val="hybridMultilevel"/>
    <w:tmpl w:val="9EFCBFC2"/>
    <w:lvl w:ilvl="0" w:tplc="524EF2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882FBD"/>
    <w:multiLevelType w:val="hybridMultilevel"/>
    <w:tmpl w:val="570821FE"/>
    <w:lvl w:ilvl="0" w:tplc="5E5436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3A"/>
    <w:rsid w:val="0002677B"/>
    <w:rsid w:val="000D2EB8"/>
    <w:rsid w:val="0011155F"/>
    <w:rsid w:val="001321D2"/>
    <w:rsid w:val="001B052F"/>
    <w:rsid w:val="00212EFB"/>
    <w:rsid w:val="0028515B"/>
    <w:rsid w:val="002F0C7D"/>
    <w:rsid w:val="003163EC"/>
    <w:rsid w:val="00320287"/>
    <w:rsid w:val="003A7DFA"/>
    <w:rsid w:val="003D1A5F"/>
    <w:rsid w:val="00424D7D"/>
    <w:rsid w:val="00443D1D"/>
    <w:rsid w:val="004C462E"/>
    <w:rsid w:val="004C5FEC"/>
    <w:rsid w:val="00545EBF"/>
    <w:rsid w:val="005C5D0A"/>
    <w:rsid w:val="00622B42"/>
    <w:rsid w:val="006647F5"/>
    <w:rsid w:val="006970D0"/>
    <w:rsid w:val="0073179F"/>
    <w:rsid w:val="00895C87"/>
    <w:rsid w:val="008B08BB"/>
    <w:rsid w:val="00901C59"/>
    <w:rsid w:val="00990630"/>
    <w:rsid w:val="00AB4C10"/>
    <w:rsid w:val="00AB546F"/>
    <w:rsid w:val="00AC18F3"/>
    <w:rsid w:val="00AE0950"/>
    <w:rsid w:val="00B17795"/>
    <w:rsid w:val="00B317EE"/>
    <w:rsid w:val="00BB7C0E"/>
    <w:rsid w:val="00BC1CC3"/>
    <w:rsid w:val="00C17220"/>
    <w:rsid w:val="00C76604"/>
    <w:rsid w:val="00C966B3"/>
    <w:rsid w:val="00CC0B1A"/>
    <w:rsid w:val="00D2019F"/>
    <w:rsid w:val="00DC193A"/>
    <w:rsid w:val="00DC7FE0"/>
    <w:rsid w:val="00E01E85"/>
    <w:rsid w:val="00E22BDD"/>
    <w:rsid w:val="00ED1140"/>
    <w:rsid w:val="00EF3D14"/>
    <w:rsid w:val="00F253EC"/>
    <w:rsid w:val="00F31FDC"/>
    <w:rsid w:val="00F52B8E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3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46F"/>
    <w:pPr>
      <w:spacing w:line="240" w:lineRule="auto"/>
    </w:pPr>
    <w:rPr>
      <w:rFonts w:asciiTheme="minorHAnsi" w:hAnsiTheme="minorHAnsi"/>
      <w:sz w:val="22"/>
      <w:szCs w:val="22"/>
    </w:rPr>
  </w:style>
  <w:style w:type="paragraph" w:styleId="a4">
    <w:name w:val="List Paragraph"/>
    <w:basedOn w:val="a"/>
    <w:uiPriority w:val="34"/>
    <w:qFormat/>
    <w:rsid w:val="00D20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3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46F"/>
    <w:pPr>
      <w:spacing w:line="240" w:lineRule="auto"/>
    </w:pPr>
    <w:rPr>
      <w:rFonts w:asciiTheme="minorHAnsi" w:hAnsiTheme="minorHAnsi"/>
      <w:sz w:val="22"/>
      <w:szCs w:val="22"/>
    </w:rPr>
  </w:style>
  <w:style w:type="paragraph" w:styleId="a4">
    <w:name w:val="List Paragraph"/>
    <w:basedOn w:val="a"/>
    <w:uiPriority w:val="34"/>
    <w:qFormat/>
    <w:rsid w:val="00D20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Galina</cp:lastModifiedBy>
  <cp:revision>2</cp:revision>
  <dcterms:created xsi:type="dcterms:W3CDTF">2020-09-22T04:39:00Z</dcterms:created>
  <dcterms:modified xsi:type="dcterms:W3CDTF">2020-09-22T04:39:00Z</dcterms:modified>
</cp:coreProperties>
</file>